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600.0" w:type="dxa"/>
        <w:jc w:val="left"/>
        <w:tblInd w:w="18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600"/>
        <w:tblGridChange w:id="0">
          <w:tblGrid>
            <w:gridCol w:w="9600"/>
          </w:tblGrid>
        </w:tblGridChange>
      </w:tblGrid>
      <w:tr>
        <w:trPr>
          <w:cantSplit w:val="0"/>
          <w:trHeight w:val="170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8.0884552001953" w:lineRule="auto"/>
              <w:ind w:left="805.2171325683594" w:right="727.425537109375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6"/>
                <w:szCs w:val="26"/>
                <w:highlight w:val="white"/>
                <w:u w:val="single"/>
                <w:vertAlign w:val="baseline"/>
                <w:rtl w:val="0"/>
              </w:rPr>
              <w:t xml:space="preserve">PROGRAMMA DI CHIMICA ORGANICA E BIOCHIMICA SVOLTO al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6"/>
                <w:szCs w:val="26"/>
                <w:highlight w:val="white"/>
                <w:u w:val="single"/>
                <w:vertAlign w:val="baseline"/>
                <w:rtl w:val="0"/>
              </w:rPr>
              <w:t xml:space="preserve">15/05/2026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90.460205078125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6"/>
                <w:szCs w:val="26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6"/>
                <w:szCs w:val="26"/>
                <w:highlight w:val="white"/>
                <w:u w:val="none"/>
                <w:vertAlign w:val="baseline"/>
                <w:rtl w:val="0"/>
              </w:rPr>
              <w:t xml:space="preserve">Docenti: Prof.ssa Laura Lo Iudice - Prof.ssa Barbara Barone</w:t>
            </w:r>
          </w:p>
        </w:tc>
      </w:tr>
    </w:tbl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9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600"/>
        <w:gridCol w:w="9360"/>
        <w:tblGridChange w:id="0">
          <w:tblGrid>
            <w:gridCol w:w="600"/>
            <w:gridCol w:w="9360"/>
          </w:tblGrid>
        </w:tblGridChange>
      </w:tblGrid>
      <w:tr>
        <w:trPr>
          <w:cantSplit w:val="0"/>
          <w:trHeight w:val="138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9.88847255706787" w:lineRule="auto"/>
              <w:ind w:left="88.84002685546875" w:right="33.02001953125" w:firstLine="5.760040283203125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  <w:rtl w:val="0"/>
              </w:rPr>
              <w:t xml:space="preserve">CARBOIDRATI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  <w:rtl w:val="0"/>
              </w:rPr>
              <w:t xml:space="preserve">: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classificazione, caratteristiche chimico fisiche e biologiche, reattività. Funzione dei glucidi. Monosaccaridi: strutture emiacetaliche. Anomeria e mutarotazione. Legame glicosidico. Disaccaridi e polisaccaridi</w:t>
            </w:r>
          </w:p>
        </w:tc>
      </w:tr>
      <w:tr>
        <w:trPr>
          <w:cantSplit w:val="0"/>
          <w:trHeight w:val="192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4.3717384338379" w:lineRule="auto"/>
              <w:ind w:left="86.43997192382812" w:right="17.9931640625" w:firstLine="0.48004150390625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  <w:rtl w:val="0"/>
              </w:rPr>
              <w:t xml:space="preserve">ACIDI GRASSI, LIPIDI SAPONIFICABILI E LIPIDI NON SAPONIFICABILI: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Proprietà chimiche e fisiche. Acidi grassi saturi e insaturi. Prostaglandine. Lipidi: caratteristiche strutturali e funzionali. Gliceridi neutri e fosfolipidi Saponificazione dei grassi e degli oli, reattività dei gliceridi. Vitamine liposolubili.</w:t>
            </w:r>
          </w:p>
        </w:tc>
      </w:tr>
      <w:tr>
        <w:trPr>
          <w:cantSplit w:val="0"/>
          <w:trHeight w:val="196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9.88847255706787" w:lineRule="auto"/>
              <w:ind w:left="92.92007446289062" w:right="30.71044921875" w:hanging="6.00006103515625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  <w:rtl w:val="0"/>
              </w:rPr>
              <w:t xml:space="preserve">AMMINOACIDI E PROTEINE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: caratteristiche, classificazione e proprietà chimico-fisiche degli amminoacidi. Legame peptidico. Proteine: caratteristiche chimico-fisiche e biologiche, funzioni, strutture proteiche (primaria, secondaria, terziaria e quaternaria), classificazione (fibrose e globulari), denaturazione. Emoglobina e mioglobina: struttura e funzioni, curve di saturazione, cooperatività..</w:t>
            </w:r>
          </w:p>
        </w:tc>
      </w:tr>
      <w:tr>
        <w:trPr>
          <w:cantSplit w:val="0"/>
          <w:trHeight w:val="250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9.88847255706787" w:lineRule="auto"/>
              <w:ind w:left="84.51995849609375" w:right="145.05126953125" w:firstLine="5.279998779296875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  <w:rtl w:val="0"/>
              </w:rPr>
              <w:t xml:space="preserve">ENZIMI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: definizione e caratteristiche. Sito attivo: modello chiave e serratura e adattamento indotto. Classificazione e nomenclatura. Meccanismo d’ azione. Specificità. Regolazione passiva dell’attività enzimatica. Equazione di Michaelis e Menten e Km. Confronto Km glucochinasi ed esochinasi: relative considerazioni. Regolazione attiva dell’attività enzimatica: effetto degli inibitori (inibizione reversibile, irreversibile, competitiva e non competitiva, mista). Regolazione degli enzimi allosterici (curve di attività), regolazione feedback, modificazione covalente, attivazione degli zimogeni. Compartimentazione degli enzimi. Gli isoenzimi.</w:t>
            </w:r>
          </w:p>
        </w:tc>
      </w:tr>
      <w:tr>
        <w:trPr>
          <w:cantSplit w:val="0"/>
          <w:trHeight w:val="286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4.3717384338379" w:lineRule="auto"/>
              <w:ind w:left="86.43997192382812" w:right="27.77099609375" w:firstLine="3.3599853515625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  <w:rtl w:val="0"/>
              </w:rPr>
              <w:t xml:space="preserve">METABOLISMO GLUCIDICO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Glicolisi: fase di investimento e di rendimento. Bioenergetica della glicolisi e controllo enzimatico. Destino del privato in condizioni anaerobiche: fermentazione lattica e fermentazione alcolica. Il catabolismo aerobico: La respirazione cellulare. La decarbossilazione ossidativa del piruvato, Ciclo di Krebs e fosforilazione ossidativa ( la catena di trasporto degli elettroni e la chemiosmosi) </w:t>
            </w:r>
          </w:p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.92144775390625" w:line="264.3717384338379" w:lineRule="auto"/>
              <w:ind w:left="89.08004760742188" w:right="1751.881103515625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Metabolismo degli zuccheri: gluconeogenesi, glicogenolisi e glicogenosintesi. Metabolismo dei lipidi: beta ossidazione e sintesi dei lipidi </w:t>
            </w:r>
          </w:p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.921295166015625" w:line="240" w:lineRule="auto"/>
              <w:ind w:left="89.08004760742188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Metabolismo delle proteine. Integrazione delle vie metaboliche regolazione ormonale.</w:t>
            </w:r>
          </w:p>
        </w:tc>
      </w:tr>
    </w:tbl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9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600"/>
        <w:gridCol w:w="9360"/>
        <w:tblGridChange w:id="0">
          <w:tblGrid>
            <w:gridCol w:w="600"/>
            <w:gridCol w:w="9360"/>
          </w:tblGrid>
        </w:tblGridChange>
      </w:tblGrid>
      <w:tr>
        <w:trPr>
          <w:cantSplit w:val="0"/>
          <w:trHeight w:val="668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86.92001342773438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highlight w:val="white"/>
                <w:u w:val="single"/>
                <w:vertAlign w:val="baseline"/>
                <w:rtl w:val="0"/>
              </w:rPr>
              <w:t xml:space="preserve">ATTIVITÀ DI LABORATORIO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71.87255859375" w:line="226.14141941070557" w:lineRule="auto"/>
              <w:ind w:left="84.51995849609375" w:right="69.339599609375" w:firstLine="12.960052490234375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highlight w:val="white"/>
                <w:u w:val="none"/>
                <w:vertAlign w:val="baseline"/>
                <w:rtl w:val="0"/>
              </w:rPr>
              <w:t xml:space="preserve">Studio di matrice complessa: il latte.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highlight w:val="white"/>
                <w:u w:val="none"/>
                <w:vertAlign w:val="baseline"/>
                <w:rtl w:val="0"/>
              </w:rPr>
              <w:t xml:space="preserve">Approccio all' analisi chimica di miscele complesse.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highlight w:val="white"/>
                <w:u w:val="none"/>
                <w:vertAlign w:val="baseline"/>
                <w:rtl w:val="0"/>
              </w:rPr>
              <w:t xml:space="preserve">Importanza della conoscenza e approfondimento dei componenti da separare e quantificare.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highlight w:val="white"/>
                <w:u w:val="none"/>
                <w:vertAlign w:val="baseline"/>
                <w:rtl w:val="0"/>
              </w:rPr>
              <w:t xml:space="preserve">Grado di acidità del latte. Abbassamento del pH con CH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.000000953674316"/>
                <w:szCs w:val="24.000000953674316"/>
                <w:u w:val="none"/>
                <w:shd w:fill="auto" w:val="clear"/>
                <w:vertAlign w:val="subscript"/>
                <w:rtl w:val="0"/>
              </w:rPr>
              <w:t xml:space="preserve">3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highlight w:val="white"/>
                <w:u w:val="none"/>
                <w:vertAlign w:val="baseline"/>
                <w:rtl w:val="0"/>
              </w:rPr>
              <w:t xml:space="preserve">COOH al 50%, valutazione e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p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highlight w:val="white"/>
                <w:u w:val="none"/>
                <w:vertAlign w:val="baseline"/>
                <w:rtl w:val="0"/>
              </w:rPr>
              <w:t xml:space="preserve">ertinenza dell’uso di altri acidi per lo scopo. Digestione della fase solida. Purificazione del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highlight w:val="white"/>
                <w:u w:val="none"/>
                <w:vertAlign w:val="baseline"/>
                <w:rtl w:val="0"/>
              </w:rPr>
              <w:t xml:space="preserve">siero estratto con alcool etilico. Determinazione della massa di lattosio ottenuto dall' estrazione.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highlight w:val="white"/>
                <w:u w:val="none"/>
                <w:vertAlign w:val="baseline"/>
                <w:rtl w:val="0"/>
              </w:rPr>
              <w:t xml:space="preserve">Saggio di Fehling. Funzione dei componenti del reattivo per evidenziare le proprietà riducenti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highlight w:val="white"/>
                <w:u w:val="none"/>
                <w:vertAlign w:val="baseline"/>
                <w:rtl w:val="0"/>
              </w:rPr>
              <w:t xml:space="preserve">del lattosio. Resa di reazione. Analisi spettrofotometrica del lattosio. Limiti di attendibilità e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highlight w:val="white"/>
                <w:u w:val="none"/>
                <w:vertAlign w:val="baseline"/>
                <w:rtl w:val="0"/>
              </w:rPr>
              <w:t xml:space="preserve">rilevabilità dello spettrofotometro. Opportunità della diluizione del campione.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highlight w:val="white"/>
                <w:u w:val="none"/>
                <w:vertAlign w:val="baseline"/>
                <w:rtl w:val="0"/>
              </w:rPr>
              <w:t xml:space="preserve">Fermentazione e sostenibilità.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9.189453125" w:line="229.88847255706787" w:lineRule="auto"/>
              <w:ind w:left="86.92001342773438" w:right="35.38818359375" w:firstLine="1.920013427734375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highlight w:val="white"/>
                <w:u w:val="none"/>
                <w:vertAlign w:val="baseline"/>
                <w:rtl w:val="0"/>
              </w:rPr>
              <w:t xml:space="preserve">Fermentazione del glucosio con lievito di birra. Determinazione della densità della miscela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highlight w:val="white"/>
                <w:u w:val="none"/>
                <w:vertAlign w:val="baseline"/>
                <w:rtl w:val="0"/>
              </w:rPr>
              <w:t xml:space="preserve">idroalcolica dopo fermentazione e distillazione, per via diretta e indiretta. Discussione dei dati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highlight w:val="white"/>
                <w:u w:val="none"/>
                <w:vertAlign w:val="baseline"/>
                <w:rtl w:val="0"/>
              </w:rPr>
              <w:t xml:space="preserve">ottenuti e valutazione della resa in alcool. Riciclo degli scarti: discussione sui possibili utilizzi e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highlight w:val="white"/>
                <w:u w:val="none"/>
                <w:vertAlign w:val="baseline"/>
                <w:rtl w:val="0"/>
              </w:rPr>
              <w:t xml:space="preserve">verifica dell'esaustività della fase solida. Resa teorica di reazione e resa del processo di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highlight w:val="white"/>
                <w:u w:val="none"/>
                <w:vertAlign w:val="baseline"/>
                <w:rtl w:val="0"/>
              </w:rPr>
              <w:t xml:space="preserve">fermentazione. Aspetti generali sulla produzione dell'alcool etilico per uso alimentare e per gli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highlight w:val="white"/>
                <w:u w:val="none"/>
                <w:vertAlign w:val="baseline"/>
                <w:rtl w:val="0"/>
              </w:rPr>
              <w:t xml:space="preserve">altri usi.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.00830078125" w:line="229.88847255706787" w:lineRule="auto"/>
              <w:ind w:left="84.51995849609375" w:right="431.016845703125" w:firstLine="4.320068359375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highlight w:val="white"/>
                <w:u w:val="none"/>
                <w:vertAlign w:val="baseline"/>
                <w:rtl w:val="0"/>
              </w:rPr>
              <w:t xml:space="preserve">Fermentazione alcolica-Produzione industriale della birra presso Birrificio Peroni.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highlight w:val="white"/>
                <w:u w:val="none"/>
                <w:vertAlign w:val="baseline"/>
                <w:rtl w:val="0"/>
              </w:rPr>
              <w:t xml:space="preserve">Proteine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highlight w:val="white"/>
                <w:u w:val="none"/>
                <w:vertAlign w:val="baseline"/>
                <w:rtl w:val="0"/>
              </w:rPr>
              <w:t xml:space="preserve">: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highlight w:val="white"/>
                <w:u w:val="none"/>
                <w:vertAlign w:val="baseline"/>
                <w:rtl w:val="0"/>
              </w:rPr>
              <w:t xml:space="preserve">Titolazione potenziometrica della glicina e dell'arginina per la determinazione del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p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highlight w:val="white"/>
                <w:u w:val="none"/>
                <w:vertAlign w:val="baseline"/>
                <w:rtl w:val="0"/>
              </w:rPr>
              <w:t xml:space="preserve">un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to isoelettrico </w:t>
            </w:r>
          </w:p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.00830078125" w:line="229.88847255706787" w:lineRule="auto"/>
              <w:ind w:left="84.75997924804688" w:right="895.548095703125" w:firstLine="4.799957275390625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Riutilizzo di materiale di scarto: olio esausto.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 saponificazione; La produzione del biodiesel.</w:t>
            </w:r>
          </w:p>
        </w:tc>
      </w:tr>
    </w:tbl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9920.0" w:type="dxa"/>
        <w:jc w:val="left"/>
        <w:tblInd w:w="4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920"/>
        <w:tblGridChange w:id="0">
          <w:tblGrid>
            <w:gridCol w:w="9920"/>
          </w:tblGrid>
        </w:tblGridChange>
      </w:tblGrid>
      <w:tr>
        <w:trPr>
          <w:cantSplit w:val="0"/>
          <w:trHeight w:val="98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94.08004760742188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Boschi, Rizzoni; “Biochimicamente. Le biomolecole” Zanichelli </w:t>
            </w:r>
          </w:p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94.08004760742188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Boschi, Rizzoni; “Biochimicamente. L’energia e i metabolismi” Zanichelli </w:t>
            </w:r>
          </w:p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91.92001342773438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materiale condiviso dal docente</w:t>
            </w:r>
          </w:p>
        </w:tc>
      </w:tr>
    </w:tbl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4.881591796875" w:lineRule="auto"/>
        <w:ind w:left="6191.856689453125" w:right="1115.054931640625" w:hanging="5985.5767822265625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highlight w:val="white"/>
          <w:u w:val="none"/>
          <w:vertAlign w:val="baseline"/>
          <w:rtl w:val="0"/>
        </w:rPr>
        <w:t xml:space="preserve">Frascati 3 Giugno le docenti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highlight w:val="white"/>
          <w:u w:val="none"/>
          <w:vertAlign w:val="baseline"/>
          <w:rtl w:val="0"/>
        </w:rPr>
        <w:t xml:space="preserve">Prof.ssa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e8eaed" w:val="clear"/>
          <w:vertAlign w:val="baseline"/>
          <w:rtl w:val="0"/>
        </w:rPr>
        <w:t xml:space="preserve">Laura Lo Iudice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.26171875" w:line="240" w:lineRule="auto"/>
        <w:ind w:left="0" w:right="1214.1717529296875" w:firstLine="0"/>
        <w:jc w:val="righ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highlight w:val="white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highlight w:val="white"/>
          <w:u w:val="none"/>
          <w:vertAlign w:val="baseline"/>
          <w:rtl w:val="0"/>
        </w:rPr>
        <w:t xml:space="preserve">Prof.ssa Barbara Barone</w:t>
      </w:r>
    </w:p>
    <w:sectPr>
      <w:pgSz w:h="16840" w:w="11920" w:orient="portrait"/>
      <w:pgMar w:bottom="1710" w:top="1430" w:left="1250" w:right="71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</w:tblPr>
  </w:style>
  <w:style w:type="table" w:styleId="Table2">
    <w:basedOn w:val="TableNormal"/>
    <w:tblPr>
      <w:tblStyleRowBandSize w:val="1"/>
      <w:tblStyleColBandSize w:val="1"/>
    </w:tblPr>
  </w:style>
  <w:style w:type="table" w:styleId="Table3">
    <w:basedOn w:val="TableNormal"/>
    <w:tblPr>
      <w:tblStyleRowBandSize w:val="1"/>
      <w:tblStyleColBandSize w:val="1"/>
    </w:tblPr>
  </w:style>
  <w:style w:type="table" w:styleId="Table4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